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统一中山大学专利申请代理服务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常见问题问答</w:t>
      </w:r>
    </w:p>
    <w:p>
      <w:pPr>
        <w:adjustRightInd w:val="0"/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</w:pP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3" w:firstLineChars="200"/>
        <w:jc w:val="both"/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1.是否可以委托非学校招标专利代理机构办理专利申请？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0" w:firstLineChars="200"/>
        <w:jc w:val="both"/>
        <w:rPr>
          <w:rFonts w:hint="eastAsia" w:ascii="Times New Roman" w:hAnsi="Times New Roman" w:eastAsia="仿宋_GB2312" w:cs="宋体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答：原则上，科研人员需统一使用学校招标专利代理机构。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</w:rPr>
        <w:t>如确因学科特点等特殊原因需要从学校统一招标的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</w:rPr>
        <w:t>家专利代理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  <w:lang w:eastAsia="zh-CN"/>
        </w:rPr>
        <w:t>机构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</w:rPr>
        <w:t>之外选择专利代理的，需要填写情况说明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  <w:lang w:eastAsia="zh-CN"/>
        </w:rPr>
        <w:t>，说明未选择学校招标专利代理机构的原因，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</w:rPr>
        <w:t>经所在院系和科学研究院审批同意后方可办理委托。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3" w:firstLineChars="200"/>
        <w:jc w:val="both"/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2.高质量专利代理服务与普通专利代理服务之间的区别在哪里？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0" w:firstLineChars="200"/>
        <w:jc w:val="both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答：一、业务范围不同。高质量专利代理服务仅针对发明专利和PCT申请，普通专利代理服务针对发明、实用新型、外观设计、软件著作权和PCT申请。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0" w:firstLineChars="200"/>
        <w:jc w:val="both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、服务要求不同，主要体现在要求配备人员和服务内容两方面。人员配备方面，高质量专利代理服务配备从业经验更丰富，从业时间更长，基本在5年以上的资深代理人；普通专利代理服务则相对从业经验和时间要求较低。服务内容方面，高质量专利代理服务要求资深代理人在专利申请立案阶段，需至少面对面会晤一次，针对拟申请专利提供全球范围文献检索，对专利申请过程中各类文本进行质量把关，在有需求的情况下，提供优先审查、专利预审等服务；普通专利代理服务的服务内容相对较低。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3" w:firstLineChars="200"/>
        <w:jc w:val="both"/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3.在中标机构中，是否可以委托高质量专利代理机构代理普通专利申请，或普通专利代理机构代理高质量申请？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0" w:firstLineChars="200"/>
        <w:jc w:val="both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答：原则上，科研人员需根据代理机构中标进行进行专利申请委托。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</w:rPr>
        <w:t>如确因学科特点等特殊原因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  <w:lang w:eastAsia="zh-CN"/>
        </w:rPr>
        <w:t>需委托中标业务范围外的业务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，由科研人员与代理机构就委托事项、费用等方面进行协商，并填写情况说明，</w:t>
      </w:r>
      <w:r>
        <w:rPr>
          <w:rFonts w:hint="eastAsia" w:ascii="Times New Roman" w:hAnsi="Times New Roman" w:eastAsia="仿宋_GB2312" w:cs="宋体"/>
          <w:color w:val="000000"/>
          <w:sz w:val="32"/>
          <w:szCs w:val="32"/>
        </w:rPr>
        <w:t>经所在院系和科学研究院审批同意后方可办理委托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3" w:firstLineChars="200"/>
        <w:jc w:val="both"/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4.本次招标机构后续是否有淘汰机制？</w:t>
      </w:r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firstLine="640" w:firstLineChars="200"/>
        <w:jc w:val="both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答：本次招标代理机构服务期限为2020-2021年，服务期满，学校将根据科研人员反映情况，学校学科特点，重新启动招标，调整招标标准，淘汰科研人员反映不好的代理公司，同时根据学科等特点补充新的代理公司进入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right="819" w:rightChars="390"/>
        <w:jc w:val="both"/>
        <w:textAlignment w:val="auto"/>
        <w:rPr>
          <w:rFonts w:hint="default" w:ascii="Times New Roman" w:hAnsi="Times New Roman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2"/>
        <w:widowControl/>
        <w:adjustRightInd w:val="0"/>
        <w:snapToGrid w:val="0"/>
        <w:spacing w:beforeAutospacing="0" w:afterAutospacing="0" w:line="540" w:lineRule="exact"/>
        <w:ind w:right="819" w:rightChars="390"/>
        <w:jc w:val="both"/>
        <w:rPr>
          <w:rFonts w:hint="eastAsia" w:ascii="Times New Roman" w:hAnsi="Times New Roman" w:eastAsia="仿宋_GB2312" w:cs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85E71"/>
    <w:rsid w:val="2E8C4C3C"/>
    <w:rsid w:val="395A566F"/>
    <w:rsid w:val="5502158C"/>
    <w:rsid w:val="6C9B3E9A"/>
    <w:rsid w:val="773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王平</cp:lastModifiedBy>
  <dcterms:modified xsi:type="dcterms:W3CDTF">2020-04-07T09:30:17Z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